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0D441C">
      <w:pPr>
        <w:spacing w:line="360" w:lineRule="auto"/>
      </w:pPr>
      <w:r w:rsidRPr="00F770C1">
        <w:rPr>
          <w:b/>
          <w:bCs/>
        </w:rPr>
        <w:t>Abstract</w:t>
      </w:r>
    </w:p>
    <w:p w14:paraId="36E2F63E" w14:textId="17BCC901" w:rsidR="000D441C" w:rsidRDefault="00616490" w:rsidP="000D441C">
      <w:pPr>
        <w:pStyle w:val="NormalWeb"/>
        <w:spacing w:before="0" w:beforeAutospacing="0" w:after="0" w:afterAutospacing="0" w:line="360" w:lineRule="auto"/>
      </w:pPr>
      <w:r>
        <w:rPr>
          <w:color w:val="000000"/>
        </w:rPr>
        <w:t xml:space="preserve">Invasive plant species have been widely studied for their negative effects on native plant population and community dynamics. </w:t>
      </w:r>
      <w:r w:rsidR="000D441C">
        <w:rPr>
          <w:color w:val="000000"/>
        </w:rPr>
        <w:t xml:space="preserve">Previous work estimates that ~72% of invasive plant species demonstrate the ability to produce and secrete allelopathic compounds. Allelopathy-mediated plant invasion reorganizes belowground arbuscular mycorrhizal (AM) </w:t>
      </w:r>
      <w:r w:rsidR="00EB1163">
        <w:rPr>
          <w:color w:val="000000"/>
        </w:rPr>
        <w:t xml:space="preserve">fungal </w:t>
      </w:r>
      <w:r w:rsidR="000D441C">
        <w:rPr>
          <w:color w:val="000000"/>
        </w:rPr>
        <w:t xml:space="preserve">communities, which may have important consequences for native plant species resource provisioning, uptake, and allocation to organs that support primary productivity and reproduction. Recent work indicates that changes in </w:t>
      </w:r>
      <w:r w:rsidR="00EB1163">
        <w:rPr>
          <w:color w:val="000000"/>
        </w:rPr>
        <w:t xml:space="preserve">AM fungal </w:t>
      </w:r>
      <w:r w:rsidR="000D441C">
        <w:rPr>
          <w:color w:val="000000"/>
        </w:rPr>
        <w:t>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w:t>
      </w:r>
      <w:r w:rsidR="000D441C">
        <w:rPr>
          <w:color w:val="0E101A"/>
        </w:rPr>
        <w:t xml:space="preserve"> </w:t>
      </w:r>
      <w:r w:rsidR="000D441C">
        <w:rPr>
          <w:i/>
          <w:iCs/>
          <w:color w:val="0E101A"/>
        </w:rPr>
        <w:t>Alliaria petiolata</w:t>
      </w:r>
      <w:r w:rsidR="000D441C">
        <w:rPr>
          <w:color w:val="0E101A"/>
        </w:rPr>
        <w:t xml:space="preserve">, an allelopathic invader that reorganizes AM fungal communities, negatively affected leaf gas exchange in two understory native AM-associating plant species growing in a long-term </w:t>
      </w:r>
      <w:r w:rsidR="000D441C">
        <w:rPr>
          <w:i/>
          <w:iCs/>
          <w:color w:val="0E101A"/>
        </w:rPr>
        <w:t xml:space="preserve">A. petiolata </w:t>
      </w:r>
      <w:r w:rsidR="000D441C">
        <w:rPr>
          <w:color w:val="0E101A"/>
        </w:rPr>
        <w:t>field manipulation experiment</w:t>
      </w:r>
      <w:r w:rsidR="000D441C">
        <w:rPr>
          <w:color w:val="000000"/>
        </w:rPr>
        <w:t xml:space="preserve">. </w:t>
      </w:r>
      <w:r w:rsidR="000D441C">
        <w:rPr>
          <w:i/>
          <w:iCs/>
          <w:color w:val="000000"/>
        </w:rPr>
        <w:t>Alliaria petiolata</w:t>
      </w:r>
      <w:r w:rsidR="000D441C">
        <w:rPr>
          <w:color w:val="000000"/>
        </w:rPr>
        <w:t xml:space="preserve"> presence decreased stomatal conductance more strongly than it decreased net photosynthesis, increasing the extent to which stomatal conductance limited net photosynthesis. In contrast, </w:t>
      </w:r>
      <w:r w:rsidR="000D441C">
        <w:rPr>
          <w:i/>
          <w:iCs/>
          <w:color w:val="000000"/>
        </w:rPr>
        <w:t>A. petiolata</w:t>
      </w:r>
      <w:r w:rsidR="000D441C">
        <w:rPr>
          <w:color w:val="000000"/>
        </w:rPr>
        <w:t xml:space="preserve"> presence decreased maximum rates of Rubisco carboxylation and electron transport for RuBP regeneration in </w:t>
      </w:r>
      <w:r w:rsidR="000D441C">
        <w:rPr>
          <w:i/>
          <w:iCs/>
          <w:color w:val="000000"/>
        </w:rPr>
        <w:t xml:space="preserve">Trillium </w:t>
      </w:r>
      <w:r w:rsidR="000D441C">
        <w:rPr>
          <w:color w:val="000000"/>
        </w:rPr>
        <w:t xml:space="preserve">spp. despite no apparent effect of </w:t>
      </w:r>
      <w:r w:rsidR="000D441C">
        <w:rPr>
          <w:i/>
          <w:iCs/>
          <w:color w:val="000000"/>
        </w:rPr>
        <w:t>A. petiolata</w:t>
      </w:r>
      <w:r w:rsidR="000D441C">
        <w:rPr>
          <w:color w:val="000000"/>
        </w:rPr>
        <w:t xml:space="preserve"> presence on </w:t>
      </w:r>
      <w:r w:rsidR="000D441C">
        <w:rPr>
          <w:i/>
          <w:iCs/>
          <w:color w:val="000000"/>
        </w:rPr>
        <w:t xml:space="preserve">Trillium </w:t>
      </w:r>
      <w:r w:rsidR="000D441C">
        <w:rPr>
          <w:color w:val="000000"/>
        </w:rPr>
        <w:t xml:space="preserve">spp. net photosynthesis or stomatal conductance. Interestingly, reduced maximum rates of Rubisco carboxylation and electron transport for RuBP regeneration </w:t>
      </w:r>
      <w:r w:rsidR="000D441C">
        <w:rPr>
          <w:color w:val="000000"/>
        </w:rPr>
        <w:lastRenderedPageBreak/>
        <w:t xml:space="preserve">in </w:t>
      </w:r>
      <w:r w:rsidR="000D441C">
        <w:rPr>
          <w:i/>
          <w:iCs/>
          <w:color w:val="000000"/>
        </w:rPr>
        <w:t>Trillium</w:t>
      </w:r>
      <w:r w:rsidR="000D441C">
        <w:rPr>
          <w:color w:val="000000"/>
        </w:rPr>
        <w:t xml:space="preserve"> spp. were only observed later in the growth season after the tree canopy had closed and soil nitrogen availability had decreased. These patterns suggest that the negative effects of </w:t>
      </w:r>
      <w:r w:rsidR="000D441C">
        <w:rPr>
          <w:i/>
          <w:iCs/>
          <w:color w:val="000000"/>
        </w:rPr>
        <w:t>A. petiolata</w:t>
      </w:r>
      <w:r w:rsidR="000D441C">
        <w:rPr>
          <w:color w:val="000000"/>
        </w:rPr>
        <w:t xml:space="preserve"> presence on leaf physiology are species-specific, as reduced net photosynthesis rates in </w:t>
      </w:r>
      <w:r w:rsidR="000D441C">
        <w:rPr>
          <w:i/>
          <w:iCs/>
          <w:color w:val="000000"/>
        </w:rPr>
        <w:t xml:space="preserve">M. </w:t>
      </w:r>
      <w:proofErr w:type="spellStart"/>
      <w:r w:rsidR="000D441C">
        <w:rPr>
          <w:i/>
          <w:iCs/>
          <w:color w:val="000000"/>
        </w:rPr>
        <w:t>racemosum</w:t>
      </w:r>
      <w:proofErr w:type="spellEnd"/>
      <w:r w:rsidR="000D441C">
        <w:rPr>
          <w:color w:val="000000"/>
        </w:rPr>
        <w:t xml:space="preserve"> were driven by changes in water use and reduced photosynthetic capacity in </w:t>
      </w:r>
      <w:r w:rsidR="000D441C">
        <w:rPr>
          <w:i/>
          <w:iCs/>
          <w:color w:val="000000"/>
        </w:rPr>
        <w:t>Trillium</w:t>
      </w:r>
      <w:r w:rsidR="000D441C">
        <w:rPr>
          <w:color w:val="000000"/>
        </w:rPr>
        <w:t xml:space="preserve"> spp. were likely driven by changes in nitrogen uptake or allocation to photosynthetic leaf tissue. Overall, results point to the idea that the effects of allelopathic plant invasion on native plant physiology are species-specific and may hinge on phenological shifts due to changes in soil nutrient supply or demand for building and maintaining photosynthetic enzymes.</w:t>
      </w:r>
    </w:p>
    <w:p w14:paraId="6830EAEF" w14:textId="118024EF"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7E5EF130" w14:textId="63C127AD" w:rsidR="001227F9" w:rsidRDefault="00865639" w:rsidP="001227F9">
      <w:pPr>
        <w:spacing w:line="360" w:lineRule="auto"/>
        <w:rPr>
          <w:color w:val="000000"/>
        </w:rPr>
      </w:pPr>
      <w:r>
        <w:rPr>
          <w:color w:val="000000"/>
        </w:rPr>
        <w:t xml:space="preserve">Invasive plant species exploit strategies that maximize their competitive success for establishment in novel ecosystems. The success of an invading plant species is multifaceted and </w:t>
      </w:r>
      <w:r w:rsidR="000F3BB1">
        <w:rPr>
          <w:color w:val="000000"/>
        </w:rPr>
        <w:t xml:space="preserve">largely depends on </w:t>
      </w:r>
      <w:r>
        <w:rPr>
          <w:color w:val="000000"/>
        </w:rPr>
        <w:t>soil nutrient availability (</w:t>
      </w:r>
      <w:r>
        <w:rPr>
          <w:color w:val="000000"/>
          <w:shd w:val="clear" w:color="auto" w:fill="FFFF00"/>
        </w:rPr>
        <w:t>cite</w:t>
      </w:r>
      <w:r>
        <w:rPr>
          <w:color w:val="000000"/>
        </w:rPr>
        <w:t xml:space="preserve">), </w:t>
      </w:r>
      <w:r w:rsidR="00EB1163">
        <w:rPr>
          <w:color w:val="000000"/>
        </w:rPr>
        <w:t xml:space="preserve">aboveground </w:t>
      </w:r>
      <w:r>
        <w:rPr>
          <w:color w:val="000000"/>
        </w:rPr>
        <w:t xml:space="preserve">growth environment (e.g., light availability; </w:t>
      </w:r>
      <w:r>
        <w:rPr>
          <w:color w:val="000000"/>
          <w:shd w:val="clear" w:color="auto" w:fill="FFFF00"/>
        </w:rPr>
        <w:t>cite</w:t>
      </w:r>
      <w:r>
        <w:rPr>
          <w:color w:val="000000"/>
        </w:rPr>
        <w:t xml:space="preserve">), </w:t>
      </w:r>
      <w:r w:rsidR="000F3BB1">
        <w:rPr>
          <w:color w:val="000000"/>
        </w:rPr>
        <w:t>and</w:t>
      </w:r>
      <w:r>
        <w:rPr>
          <w:color w:val="000000"/>
        </w:rPr>
        <w:t xml:space="preserve"> belowground soil microbial community composition (</w:t>
      </w:r>
      <w:r>
        <w:rPr>
          <w:color w:val="000000"/>
          <w:shd w:val="clear" w:color="auto" w:fill="FFFF00"/>
        </w:rPr>
        <w:t>cite</w:t>
      </w:r>
      <w:r>
        <w:rPr>
          <w:color w:val="000000"/>
        </w:rPr>
        <w:t>).</w:t>
      </w:r>
      <w:r w:rsidR="00EB1163">
        <w:rPr>
          <w:color w:val="000000"/>
        </w:rPr>
        <w:t xml:space="preserve"> </w:t>
      </w:r>
      <w:r>
        <w:rPr>
          <w:color w:val="000000"/>
        </w:rPr>
        <w:t>Allelopathy,</w:t>
      </w:r>
      <w:r w:rsidR="000F3BB1">
        <w:rPr>
          <w:color w:val="000000"/>
        </w:rPr>
        <w:t xml:space="preserve"> a ‘novel weapon’</w:t>
      </w:r>
      <w:r>
        <w:rPr>
          <w:color w:val="000000"/>
        </w:rPr>
        <w:t xml:space="preserve"> defined here as a secondary compound produced by a plant that negatively impacts neighboring plant species and soil microbial communities, has gained traction as a mechanism to explain the widespread success of invasive plant species </w:t>
      </w:r>
      <w:sdt>
        <w:sdtPr>
          <w:rPr>
            <w:color w:val="000000"/>
          </w:rPr>
          <w:tag w:val="MENDELEY_CITATION_v3_eyJjaXRhdGlvbklEIjoiTUVOREVMRVlfQ0lUQVRJT05fYzE4NmE5ODktNDJmYS00OGJlLThiNWQtMjYyMWQ2YjM5ZmN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
          <w:id w:val="1594584663"/>
          <w:placeholder>
            <w:docPart w:val="DefaultPlaceholder_-1854013440"/>
          </w:placeholder>
        </w:sdtPr>
        <w:sdtContent>
          <w:r w:rsidR="00BC4D23">
            <w:rPr>
              <w:rFonts w:eastAsia="Times New Roman"/>
            </w:rPr>
            <w:t>(Callaway &amp; Ridenour, 2004)</w:t>
          </w:r>
        </w:sdtContent>
      </w:sdt>
      <w:r>
        <w:rPr>
          <w:color w:val="000000"/>
        </w:rPr>
        <w:t xml:space="preserve">. Previous work estimates that ~72% of invasive plant species can produce and secrete allelopathic compounds </w:t>
      </w:r>
      <w:sdt>
        <w:sdtPr>
          <w:rPr>
            <w:color w:val="000000"/>
          </w:rPr>
          <w:tag w:val="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BC4D23">
            <w:rPr>
              <w:rFonts w:eastAsia="Times New Roman"/>
            </w:rPr>
            <w:t xml:space="preserve">(Kalisz </w:t>
          </w:r>
          <w:r w:rsidR="00BC4D23">
            <w:rPr>
              <w:rFonts w:eastAsia="Times New Roman"/>
              <w:i/>
              <w:iCs/>
            </w:rPr>
            <w:t>et al.</w:t>
          </w:r>
          <w:r w:rsidR="00BC4D23">
            <w:rPr>
              <w:rFonts w:eastAsia="Times New Roman"/>
            </w:rPr>
            <w:t>, 2021)</w:t>
          </w:r>
        </w:sdtContent>
      </w:sdt>
      <w:r>
        <w:rPr>
          <w:color w:val="000000"/>
        </w:rPr>
        <w:t xml:space="preserve">, leading to negative impacts on neighboring plant performance </w:t>
      </w:r>
      <w:sdt>
        <w:sdtPr>
          <w:rPr>
            <w:color w:val="000000"/>
          </w:rPr>
          <w:tag w:val="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
          <w:id w:val="-2038027905"/>
          <w:placeholder>
            <w:docPart w:val="DefaultPlaceholder_-1854013440"/>
          </w:placeholder>
        </w:sdtPr>
        <w:sdtContent>
          <w:r w:rsidR="00BC4D23">
            <w:rPr>
              <w:rFonts w:eastAsia="Times New Roman"/>
            </w:rPr>
            <w:t xml:space="preserve">(Qu </w:t>
          </w:r>
          <w:r w:rsidR="00BC4D23">
            <w:rPr>
              <w:rFonts w:eastAsia="Times New Roman"/>
              <w:i/>
              <w:iCs/>
            </w:rPr>
            <w:t>et al.</w:t>
          </w:r>
          <w:r w:rsidR="00BC4D23">
            <w:rPr>
              <w:rFonts w:eastAsia="Times New Roman"/>
            </w:rPr>
            <w:t xml:space="preserve">, 2021; Zhang </w:t>
          </w:r>
          <w:r w:rsidR="00BC4D23">
            <w:rPr>
              <w:rFonts w:eastAsia="Times New Roman"/>
              <w:i/>
              <w:iCs/>
            </w:rPr>
            <w:t>et al.</w:t>
          </w:r>
          <w:r w:rsidR="00BC4D23">
            <w:rPr>
              <w:rFonts w:eastAsia="Times New Roman"/>
            </w:rPr>
            <w:t>, 2021)</w:t>
          </w:r>
        </w:sdtContent>
      </w:sdt>
      <w:r w:rsidR="001A1AAA">
        <w:rPr>
          <w:color w:val="000000"/>
        </w:rPr>
        <w:t xml:space="preserve"> and community dynamics </w:t>
      </w:r>
      <w:sdt>
        <w:sdtPr>
          <w:rPr>
            <w:color w:val="000000"/>
          </w:rPr>
          <w:tag w:val="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123958163"/>
          <w:placeholder>
            <w:docPart w:val="DefaultPlaceholder_-1854013440"/>
          </w:placeholder>
        </w:sdtPr>
        <w:sdtContent>
          <w:r w:rsidR="00BC4D23">
            <w:rPr>
              <w:rFonts w:eastAsia="Times New Roman"/>
            </w:rPr>
            <w:t xml:space="preserve">(Roche </w:t>
          </w:r>
          <w:r w:rsidR="00BC4D23">
            <w:rPr>
              <w:rFonts w:eastAsia="Times New Roman"/>
              <w:i/>
              <w:iCs/>
            </w:rPr>
            <w:t>et al.</w:t>
          </w:r>
          <w:r w:rsidR="00BC4D23">
            <w:rPr>
              <w:rFonts w:eastAsia="Times New Roman"/>
            </w:rPr>
            <w:t>, 2021)</w:t>
          </w:r>
        </w:sdtContent>
      </w:sdt>
      <w:r>
        <w:rPr>
          <w:color w:val="000000"/>
        </w:rPr>
        <w:t>. Allelopathy-mediated plant invasion has also been shown to reorganize belowground soil microbial communities (</w:t>
      </w:r>
      <w:r>
        <w:rPr>
          <w:color w:val="000000"/>
          <w:shd w:val="clear" w:color="auto" w:fill="FFFF00"/>
        </w:rPr>
        <w:t>cite</w:t>
      </w:r>
      <w:r>
        <w:rPr>
          <w:color w:val="000000"/>
        </w:rPr>
        <w:t>), which may have important consequences for neighboring native species resource uptake</w:t>
      </w:r>
      <w:r w:rsidR="001A1AAA">
        <w:rPr>
          <w:color w:val="000000"/>
        </w:rPr>
        <w:t xml:space="preserve"> and allocation to productive tissues</w:t>
      </w:r>
      <w:r>
        <w:rPr>
          <w:color w:val="000000"/>
        </w:rPr>
        <w:t>.</w:t>
      </w:r>
      <w:r w:rsidR="001227F9">
        <w:rPr>
          <w:color w:val="000000"/>
        </w:rPr>
        <w:t xml:space="preserve"> </w:t>
      </w:r>
    </w:p>
    <w:p w14:paraId="544277F2" w14:textId="26D3F05C" w:rsidR="007C5CF8" w:rsidRDefault="001227F9" w:rsidP="00285858">
      <w:pPr>
        <w:spacing w:line="360" w:lineRule="auto"/>
        <w:rPr>
          <w:color w:val="000000"/>
        </w:rPr>
      </w:pPr>
      <w:r>
        <w:rPr>
          <w:color w:val="000000"/>
        </w:rPr>
        <w:tab/>
        <w:t xml:space="preserve">Recent work has revealed that allelopathy in invasive plant species may disrupt beneficial plant-microbial symbioses that may </w:t>
      </w:r>
    </w:p>
    <w:p w14:paraId="47D7AD84" w14:textId="77777777" w:rsidR="00DD278C" w:rsidRDefault="00DD278C" w:rsidP="00285858">
      <w:pPr>
        <w:spacing w:line="360" w:lineRule="auto"/>
        <w:rPr>
          <w:color w:val="000000"/>
        </w:rPr>
      </w:pPr>
    </w:p>
    <w:p w14:paraId="1F4E2EF6" w14:textId="77777777" w:rsidR="00885352" w:rsidRDefault="00885352" w:rsidP="00285858">
      <w:pPr>
        <w:spacing w:line="360" w:lineRule="auto"/>
        <w:rPr>
          <w:color w:val="000000"/>
        </w:rPr>
      </w:pPr>
    </w:p>
    <w:p w14:paraId="7E6F465A" w14:textId="03BA0D59" w:rsidR="00616490" w:rsidRPr="001227F9" w:rsidRDefault="00616490" w:rsidP="001227F9">
      <w:pPr>
        <w:spacing w:line="360" w:lineRule="auto"/>
        <w:rPr>
          <w:color w:val="000000"/>
        </w:rPr>
      </w:pPr>
      <w:r>
        <w:rPr>
          <w:color w:val="000000"/>
        </w:rPr>
        <w:tab/>
        <w:t>As arbuscular mycorrhizal fungi form obligate symbioses with plants and exchange mineral nutrients and water mined from soil solution to plants in exchange for photosynthate allocated belowground</w:t>
      </w:r>
      <w:r w:rsidR="00A04F6F">
        <w:rPr>
          <w:color w:val="000000"/>
        </w:rPr>
        <w:t xml:space="preserve"> </w:t>
      </w:r>
      <w:sdt>
        <w:sdtPr>
          <w:rPr>
            <w:color w:val="000000"/>
          </w:rPr>
          <w:tag w:val="MENDELEY_CITATION_v3_eyJjaXRhdGlvbklEIjoiTUVOREVMRVlfQ0lUQVRJT05fNDAwODJkNGQtZDZhYi00MTdjLThkNDAtNjAyMTljMGFmNTZ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634103715"/>
          <w:placeholder>
            <w:docPart w:val="DefaultPlaceholder_-1854013440"/>
          </w:placeholder>
        </w:sdtPr>
        <w:sdtContent>
          <w:r w:rsidR="00BC4D23">
            <w:rPr>
              <w:rFonts w:eastAsia="Times New Roman"/>
            </w:rPr>
            <w:t>(Smith &amp; Read, 2008)</w:t>
          </w:r>
        </w:sdtContent>
      </w:sdt>
      <w:r w:rsidR="00A04F6F">
        <w:rPr>
          <w:color w:val="000000"/>
        </w:rPr>
        <w:t xml:space="preserve">, it is also likely that reorganized AM fungal communities due to allelopathic plant invasion likely scales to modify plant physiological </w:t>
      </w:r>
      <w:r w:rsidR="00A04F6F">
        <w:rPr>
          <w:color w:val="000000"/>
        </w:rPr>
        <w:lastRenderedPageBreak/>
        <w:t>processes.</w:t>
      </w:r>
      <w:r w:rsidR="001227F9">
        <w:rPr>
          <w:color w:val="000000"/>
        </w:rPr>
        <w:t xml:space="preserve"> Indeed, r</w:t>
      </w:r>
      <w:r>
        <w:rPr>
          <w:color w:val="000000"/>
        </w:rPr>
        <w:t>ecent work indicates that changes in arbuscular mycorrhizal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w:t>
      </w:r>
    </w:p>
    <w:p w14:paraId="093013FE" w14:textId="77777777" w:rsidR="00616490" w:rsidRDefault="00616490" w:rsidP="00285858">
      <w:pPr>
        <w:spacing w:line="360" w:lineRule="auto"/>
      </w:pPr>
    </w:p>
    <w:p w14:paraId="7C43352E" w14:textId="322BD4DC" w:rsidR="00F770C1" w:rsidRPr="00F770C1" w:rsidRDefault="00F770C1" w:rsidP="00D62E48">
      <w:pPr>
        <w:spacing w:line="360" w:lineRule="auto"/>
        <w:ind w:firstLine="720"/>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1227F9">
        <w:rPr>
          <w:i/>
          <w:iCs/>
        </w:rPr>
        <w:t>Alliaria petiolata</w:t>
      </w:r>
      <w:r w:rsidR="001227F9">
        <w:t xml:space="preserve"> is a </w:t>
      </w:r>
      <w:r w:rsidR="00DF31C2">
        <w:t xml:space="preserve"> These species are understory perennial herbs with wide distributions in temperate forests of the northeastern United States</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BC4D23" w:rsidRPr="00BC4D23">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BC4D23">
            <w:rPr>
              <w:rFonts w:eastAsia="Times New Roman"/>
            </w:rPr>
            <w:t>(</w:t>
          </w:r>
          <w:proofErr w:type="spellStart"/>
          <w:r w:rsidR="00BC4D23">
            <w:rPr>
              <w:rFonts w:eastAsia="Times New Roman"/>
            </w:rPr>
            <w:t>Heberling</w:t>
          </w:r>
          <w:proofErr w:type="spellEnd"/>
          <w:r w:rsidR="00BC4D23">
            <w:rPr>
              <w:rFonts w:eastAsia="Times New Roman"/>
            </w:rPr>
            <w:t xml:space="preserve"> </w:t>
          </w:r>
          <w:r w:rsidR="00BC4D23">
            <w:rPr>
              <w:rFonts w:eastAsia="Times New Roman"/>
              <w:i/>
              <w:iCs/>
            </w:rPr>
            <w:t>et al.</w:t>
          </w:r>
          <w:r w:rsidR="00BC4D23">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2B90F207" w:rsidR="00F77F2C" w:rsidRDefault="00F770C1" w:rsidP="00285858">
      <w:pPr>
        <w:spacing w:line="360" w:lineRule="auto"/>
      </w:pPr>
      <w:r w:rsidRPr="00F770C1">
        <w:lastRenderedPageBreak/>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BC4D23">
            <w:rPr>
              <w:rFonts w:eastAsia="Times New Roman"/>
            </w:rPr>
            <w:t>(</w:t>
          </w:r>
          <w:proofErr w:type="spellStart"/>
          <w:r w:rsidR="00BC4D23">
            <w:rPr>
              <w:rFonts w:eastAsia="Times New Roman"/>
            </w:rPr>
            <w:t>Palecki</w:t>
          </w:r>
          <w:proofErr w:type="spellEnd"/>
          <w:r w:rsidR="00BC4D23">
            <w:rPr>
              <w:rFonts w:eastAsia="Times New Roman"/>
            </w:rPr>
            <w:t xml:space="preserve"> </w:t>
          </w:r>
          <w:r w:rsidR="00BC4D23">
            <w:rPr>
              <w:rFonts w:eastAsia="Times New Roman"/>
              <w:i/>
              <w:iCs/>
            </w:rPr>
            <w:t>et al.</w:t>
          </w:r>
          <w:r w:rsidR="00BC4D23">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BC4D23">
            <w:rPr>
              <w:rFonts w:eastAsia="Times New Roman"/>
            </w:rPr>
            <w:t xml:space="preserve">(Roche </w:t>
          </w:r>
          <w:r w:rsidR="00BC4D23">
            <w:rPr>
              <w:rFonts w:eastAsia="Times New Roman"/>
              <w:i/>
              <w:iCs/>
            </w:rPr>
            <w:t>et al.</w:t>
          </w:r>
          <w:r w:rsidR="00BC4D23">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DF31C2">
        <w:rPr>
          <w:rStyle w:val="CommentReference"/>
        </w:rPr>
        <w:commentReference w:id="0"/>
      </w:r>
    </w:p>
    <w:p w14:paraId="22D61DFC" w14:textId="3485D2FA"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BC4D23">
            <w:rPr>
              <w:rFonts w:eastAsia="Times New Roman"/>
            </w:rPr>
            <w:t>(</w:t>
          </w:r>
          <w:proofErr w:type="spellStart"/>
          <w:r w:rsidR="00BC4D23">
            <w:rPr>
              <w:rFonts w:eastAsia="Times New Roman"/>
            </w:rPr>
            <w:t>Akana</w:t>
          </w:r>
          <w:proofErr w:type="spellEnd"/>
          <w:r w:rsidR="00BC4D23">
            <w:rPr>
              <w:rFonts w:eastAsia="Times New Roman"/>
            </w:rPr>
            <w:t xml:space="preserve"> </w:t>
          </w:r>
          <w:r w:rsidR="00BC4D23">
            <w:rPr>
              <w:rFonts w:eastAsia="Times New Roman"/>
              <w:i/>
              <w:iCs/>
            </w:rPr>
            <w:t>et al.</w:t>
          </w:r>
          <w:r w:rsidR="00BC4D23">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t>
      </w:r>
      <w:r w:rsidR="002D307F">
        <w:rPr>
          <w:color w:val="000000" w:themeColor="text1"/>
        </w:rPr>
        <w:lastRenderedPageBreak/>
        <w:t xml:space="preserve">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BC4D23">
            <w:rPr>
              <w:rFonts w:eastAsia="Times New Roman"/>
            </w:rPr>
            <w:t>(</w:t>
          </w:r>
          <w:proofErr w:type="spellStart"/>
          <w:r w:rsidR="00BC4D23">
            <w:rPr>
              <w:rFonts w:eastAsia="Times New Roman"/>
            </w:rPr>
            <w:t>Weatherburn</w:t>
          </w:r>
          <w:proofErr w:type="spellEnd"/>
          <w:r w:rsidR="00BC4D23">
            <w:rPr>
              <w:rFonts w:eastAsia="Times New Roman"/>
            </w:rPr>
            <w:t xml:space="preserve">, 1967; </w:t>
          </w:r>
          <w:proofErr w:type="spellStart"/>
          <w:r w:rsidR="00BC4D23">
            <w:rPr>
              <w:rFonts w:eastAsia="Times New Roman"/>
            </w:rPr>
            <w:t>Lajtha</w:t>
          </w:r>
          <w:proofErr w:type="spellEnd"/>
          <w:r w:rsidR="00BC4D23">
            <w:rPr>
              <w:rFonts w:eastAsia="Times New Roman"/>
            </w:rPr>
            <w:t xml:space="preserve"> </w:t>
          </w:r>
          <w:r w:rsidR="00BC4D23">
            <w:rPr>
              <w:rFonts w:eastAsia="Times New Roman"/>
              <w:i/>
              <w:iCs/>
            </w:rPr>
            <w:t>et al.</w:t>
          </w:r>
          <w:r w:rsidR="00BC4D23">
            <w:rPr>
              <w:rFonts w:eastAsia="Times New Roman"/>
            </w:rPr>
            <w:t xml:space="preserve">, 1999; D’Angelo </w:t>
          </w:r>
          <w:r w:rsidR="00BC4D23">
            <w:rPr>
              <w:rFonts w:eastAsia="Times New Roman"/>
              <w:i/>
              <w:iCs/>
            </w:rPr>
            <w:t>et al.</w:t>
          </w:r>
          <w:r w:rsidR="00BC4D23">
            <w:rPr>
              <w:rFonts w:eastAsia="Times New Roman"/>
            </w:rPr>
            <w:t xml:space="preserve">, 2001; </w:t>
          </w:r>
          <w:proofErr w:type="spellStart"/>
          <w:r w:rsidR="00BC4D23">
            <w:rPr>
              <w:rFonts w:eastAsia="Times New Roman"/>
            </w:rPr>
            <w:t>Doane</w:t>
          </w:r>
          <w:proofErr w:type="spellEnd"/>
          <w:r w:rsidR="00BC4D23">
            <w:rPr>
              <w:rFonts w:eastAsia="Times New Roman"/>
            </w:rPr>
            <w:t xml:space="preserve"> &amp; </w:t>
          </w:r>
          <w:proofErr w:type="spellStart"/>
          <w:r w:rsidR="00BC4D23">
            <w:rPr>
              <w:rFonts w:eastAsia="Times New Roman"/>
            </w:rPr>
            <w:t>Horwáth</w:t>
          </w:r>
          <w:proofErr w:type="spellEnd"/>
          <w:r w:rsidR="00BC4D23">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10F28CFB"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BC4D23">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0F256BE0"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BC4D23">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lastRenderedPageBreak/>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1746034A"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BC4D23" w:rsidRPr="00BC4D23">
            <w:rPr>
              <w:rFonts w:eastAsia="Times New Roman"/>
              <w:color w:val="000000"/>
            </w:rPr>
            <w:t>Bernacchi</w:t>
          </w:r>
          <w:proofErr w:type="spellEnd"/>
          <w:r w:rsidR="00BC4D23" w:rsidRPr="00BC4D23">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40BC4CCF"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BC4D23" w:rsidRPr="00BC4D23">
            <w:rPr>
              <w:color w:val="000000"/>
            </w:rPr>
            <w:t>(</w:t>
          </w:r>
          <w:proofErr w:type="spellStart"/>
          <w:r w:rsidR="00BC4D23" w:rsidRPr="00BC4D23">
            <w:rPr>
              <w:color w:val="000000"/>
            </w:rPr>
            <w:t>Duursma</w:t>
          </w:r>
          <w:proofErr w:type="spellEnd"/>
          <w:r w:rsidR="00BC4D23" w:rsidRPr="00BC4D23">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BC4D23" w:rsidRPr="00BC4D23">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643DB267"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BC4D23">
            <w:rPr>
              <w:rFonts w:eastAsia="Times New Roman"/>
            </w:rPr>
            <w:t>Kattge</w:t>
          </w:r>
          <w:proofErr w:type="spellEnd"/>
          <w:r w:rsidR="00BC4D23">
            <w:rPr>
              <w:rFonts w:eastAsia="Times New Roman"/>
            </w:rPr>
            <w:t xml:space="preserve"> &amp; Knorr (2007)</w:t>
          </w:r>
        </w:sdtContent>
      </w:sdt>
      <w:r w:rsidRPr="00F770C1">
        <w:rPr>
          <w:color w:val="000000"/>
        </w:rPr>
        <w:t>:</w:t>
      </w:r>
    </w:p>
    <w:p w14:paraId="4BC050A9" w14:textId="0E393F13"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2B855A33"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lastRenderedPageBreak/>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BC4D23">
            <w:rPr>
              <w:rFonts w:eastAsia="Times New Roman"/>
            </w:rPr>
            <w:t>Kattge</w:t>
          </w:r>
          <w:proofErr w:type="spellEnd"/>
          <w:r w:rsidR="00BC4D23">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BC4D23">
            <w:rPr>
              <w:rFonts w:eastAsia="Times New Roman"/>
            </w:rPr>
            <w:t>Kattge</w:t>
          </w:r>
          <w:proofErr w:type="spellEnd"/>
          <w:r w:rsidR="00BC4D23">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BC4D23" w:rsidRPr="00BC4D23">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BC4D23">
            <w:rPr>
              <w:rFonts w:eastAsia="Times New Roman"/>
            </w:rPr>
            <w:t>Kattge</w:t>
          </w:r>
          <w:proofErr w:type="spellEnd"/>
          <w:r w:rsidR="00BC4D23">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4C5407">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w:t>
      </w:r>
      <w:r w:rsidRPr="00F770C1">
        <w:lastRenderedPageBreak/>
        <w:t xml:space="preserve">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21E4D364" w:rsidR="00F770C1" w:rsidRPr="00F770C1" w:rsidRDefault="00F770C1" w:rsidP="002F4E97">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BC4D23">
            <w:rPr>
              <w:rFonts w:eastAsia="Times New Roman"/>
            </w:rPr>
            <w:t xml:space="preserve">(Bates </w:t>
          </w:r>
          <w:r w:rsidR="00BC4D23">
            <w:rPr>
              <w:rFonts w:eastAsia="Times New Roman"/>
              <w:i/>
              <w:iCs/>
            </w:rPr>
            <w:t>et al.</w:t>
          </w:r>
          <w:r w:rsidR="00BC4D23">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BC4D23">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BC4D23" w:rsidRPr="00BC4D23">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BC4D23">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BC4D23" w:rsidRPr="00BC4D23">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325C723B" w:rsidR="00843EA1" w:rsidRDefault="002D307F" w:rsidP="007C6A92">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43EA1">
      <w:pPr>
        <w:spacing w:line="360" w:lineRule="auto"/>
        <w:ind w:firstLine="720"/>
      </w:pPr>
      <w:r>
        <w:lastRenderedPageBreak/>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547BA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547BA7">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F514841" w:rsidR="00F770C1" w:rsidRPr="00F770C1" w:rsidRDefault="00F770C1" w:rsidP="000934ED">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555FA434" w:rsidR="00F770C1" w:rsidRPr="00F770C1" w:rsidRDefault="00F770C1" w:rsidP="006832B8">
      <w:pPr>
        <w:spacing w:line="360" w:lineRule="auto"/>
      </w:pPr>
      <w:r w:rsidRPr="00F770C1">
        <w:tab/>
        <w:t xml:space="preserve"> Tree canopy closure s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327B1E07"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18C3A79E"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501F7282" w14:textId="77777777" w:rsidR="0039546A" w:rsidRDefault="00F770C1" w:rsidP="00197358">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p>
    <w:p w14:paraId="7ABF6F1E" w14:textId="7FED5D41" w:rsidR="00F770C1" w:rsidRPr="00F770C1" w:rsidRDefault="00F770C1" w:rsidP="00197358">
      <w:pPr>
        <w:spacing w:line="360" w:lineRule="auto"/>
      </w:pPr>
      <w:r w:rsidRPr="00F770C1">
        <w:rPr>
          <w:i/>
          <w:iCs/>
        </w:rPr>
        <w:br w:type="page"/>
      </w:r>
    </w:p>
    <w:p w14:paraId="1D16C5E4" w14:textId="084695FF"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14BE7E8B" w:rsidR="00F770C1" w:rsidRPr="00F770C1" w:rsidRDefault="00F770C1" w:rsidP="00E9001C">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4E8EECE1"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913D0D">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28F7261A"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54645DF4" w:rsidR="00364A01" w:rsidRDefault="00F770C1" w:rsidP="003A4A5F">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has been hand weeded since 2006, and orange points and boxplots indicate measurements collected in plots where </w:t>
      </w:r>
      <w:r w:rsidR="003A4A5F" w:rsidRPr="00F770C1">
        <w:rPr>
          <w:i/>
          <w:iCs/>
        </w:rPr>
        <w:t>A</w:t>
      </w:r>
      <w:r w:rsidR="00A01DCB">
        <w:rPr>
          <w:i/>
          <w:iCs/>
        </w:rPr>
        <w:t>. petiolata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29FC6AC4"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w:t>
      </w:r>
      <w:r w:rsidR="00A01DCB">
        <w:rPr>
          <w:i/>
          <w:iCs/>
        </w:rPr>
        <w:t>. petiolata</w:t>
      </w:r>
      <w:r w:rsidRPr="00F770C1">
        <w:t xml:space="preserve"> removal experiment. </w:t>
      </w:r>
      <w:r w:rsidRPr="00F770C1">
        <w:rPr>
          <w:i/>
          <w:iCs/>
        </w:rPr>
        <w:t>Alliaria</w:t>
      </w:r>
      <w:r w:rsidR="00A01DCB">
        <w:rPr>
          <w:i/>
          <w:iCs/>
        </w:rPr>
        <w:t xml:space="preserve"> petiolata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w:t>
      </w:r>
      <w:r w:rsidR="00A01DCB">
        <w:rPr>
          <w:i/>
          <w:iCs/>
        </w:rPr>
        <w:t>. petiolata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00BC4D23">
            <w:rPr>
              <w:rFonts w:eastAsia="Times New Roman"/>
            </w:rPr>
            <w:t>(</w:t>
          </w:r>
          <w:proofErr w:type="spellStart"/>
          <w:r w:rsidR="00BC4D23">
            <w:rPr>
              <w:rFonts w:eastAsia="Times New Roman"/>
            </w:rPr>
            <w:t>Bialic</w:t>
          </w:r>
          <w:proofErr w:type="spellEnd"/>
          <w:r w:rsidR="00BC4D23">
            <w:rPr>
              <w:rFonts w:eastAsia="Times New Roman"/>
            </w:rPr>
            <w:t xml:space="preserve">‐Murphy </w:t>
          </w:r>
          <w:r w:rsidR="00BC4D23">
            <w:rPr>
              <w:rFonts w:eastAsia="Times New Roman"/>
              <w:i/>
              <w:iCs/>
            </w:rPr>
            <w:t>et al.</w:t>
          </w:r>
          <w:r w:rsidR="00BC4D23">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11E73F61" w14:textId="77777777" w:rsidR="00BC4D23" w:rsidRDefault="00BC4D23">
          <w:pPr>
            <w:divId w:val="1402479293"/>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6F77221C" w14:textId="77777777" w:rsidR="00BC4D23" w:rsidRDefault="00BC4D23">
          <w:pPr>
            <w:divId w:val="121346672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48647D04" w14:textId="77777777" w:rsidR="00BC4D23" w:rsidRDefault="00BC4D23">
          <w:pPr>
            <w:divId w:val="1524980867"/>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521CCB35" w14:textId="77777777" w:rsidR="00BC4D23" w:rsidRDefault="00BC4D23">
          <w:pPr>
            <w:divId w:val="1072776634"/>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5AC9868" w14:textId="77777777" w:rsidR="00BC4D23" w:rsidRDefault="00BC4D23">
          <w:pPr>
            <w:divId w:val="134153144"/>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395F93B1" w14:textId="77777777" w:rsidR="00BC4D23" w:rsidRDefault="00BC4D23">
          <w:pPr>
            <w:divId w:val="564074768"/>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22B1B2D6" w14:textId="77777777" w:rsidR="00BC4D23" w:rsidRDefault="00BC4D23">
          <w:pPr>
            <w:divId w:val="8673114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62684CD" w14:textId="77777777" w:rsidR="00BC4D23" w:rsidRDefault="00BC4D23">
          <w:pPr>
            <w:divId w:val="1194003999"/>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5EC163C5" w14:textId="77777777" w:rsidR="00BC4D23" w:rsidRDefault="00BC4D23">
          <w:pPr>
            <w:divId w:val="903875599"/>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3C1D585B" w14:textId="77777777" w:rsidR="00BC4D23" w:rsidRDefault="00BC4D23">
          <w:pPr>
            <w:divId w:val="528104002"/>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4CD36217" w14:textId="77777777" w:rsidR="00BC4D23" w:rsidRDefault="00BC4D23">
          <w:pPr>
            <w:divId w:val="275718015"/>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6466EDAF" w14:textId="77777777" w:rsidR="00BC4D23" w:rsidRDefault="00BC4D23">
          <w:pPr>
            <w:divId w:val="1810199809"/>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5BB950E7" w14:textId="77777777" w:rsidR="00BC4D23" w:rsidRDefault="00BC4D23">
          <w:pPr>
            <w:divId w:val="1632126956"/>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6F619132" w14:textId="77777777" w:rsidR="00BC4D23" w:rsidRDefault="00BC4D23">
          <w:pPr>
            <w:divId w:val="880672802"/>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0D0C1EDB" w14:textId="77777777" w:rsidR="00BC4D23" w:rsidRDefault="00BC4D23">
          <w:pPr>
            <w:divId w:val="283780300"/>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5087C6B" w14:textId="77777777" w:rsidR="00BC4D23" w:rsidRDefault="00BC4D23">
          <w:pPr>
            <w:divId w:val="1072387293"/>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5199EBF0" w14:textId="77777777" w:rsidR="00BC4D23" w:rsidRDefault="00BC4D23">
          <w:pPr>
            <w:divId w:val="1332179644"/>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18FD3294" w14:textId="77777777" w:rsidR="00BC4D23" w:rsidRDefault="00BC4D23">
          <w:pPr>
            <w:divId w:val="1302812128"/>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48A09D1" w14:textId="77777777" w:rsidR="00BC4D23" w:rsidRDefault="00BC4D23">
          <w:pPr>
            <w:divId w:val="475923025"/>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7EA77DA6" w14:textId="77777777" w:rsidR="00BC4D23" w:rsidRDefault="00BC4D23">
          <w:pPr>
            <w:divId w:val="1465151713"/>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A8C4AA1" w14:textId="77777777" w:rsidR="00BC4D23" w:rsidRDefault="00BC4D23">
          <w:pPr>
            <w:divId w:val="465318470"/>
            <w:rPr>
              <w:rFonts w:eastAsia="Times New Roman"/>
            </w:rPr>
          </w:pPr>
          <w:r>
            <w:rPr>
              <w:rFonts w:eastAsia="Times New Roman"/>
              <w:b/>
              <w:bCs/>
            </w:rPr>
            <w:lastRenderedPageBreak/>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7317F01B" w14:textId="77777777" w:rsidR="00BC4D23" w:rsidRDefault="00BC4D23">
          <w:pPr>
            <w:divId w:val="729621931"/>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7863321E" w14:textId="77777777" w:rsidR="00BC4D23" w:rsidRDefault="00BC4D23">
          <w:pPr>
            <w:divId w:val="75871542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1086A1E9" w14:textId="77777777" w:rsidR="00BC4D23" w:rsidRDefault="00BC4D23">
          <w:pPr>
            <w:divId w:val="810364470"/>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17FE289C" w14:textId="77777777" w:rsidR="00BC4D23" w:rsidRDefault="00BC4D23">
          <w:pPr>
            <w:divId w:val="1438675354"/>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0C68AEA9" w14:textId="77777777" w:rsidR="00BC4D23" w:rsidRDefault="00BC4D23">
          <w:pPr>
            <w:divId w:val="1059672469"/>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27012F89" w14:textId="77777777" w:rsidR="00BC4D23" w:rsidRDefault="00BC4D23">
          <w:pPr>
            <w:divId w:val="143932567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73895FB3" w:rsidR="00F770C1" w:rsidRPr="00F770C1" w:rsidRDefault="00BC4D23">
          <w:r>
            <w:rPr>
              <w:rFonts w:eastAsia="Times New Roman"/>
            </w:rPr>
            <w:t> </w:t>
          </w:r>
        </w:p>
      </w:sdtContent>
    </w:sdt>
    <w:sectPr w:rsidR="00F770C1" w:rsidRPr="00F770C1" w:rsidSect="00547BA7">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710AA" w14:textId="77777777" w:rsidR="00547BA7" w:rsidRDefault="00547BA7" w:rsidP="00285858">
      <w:r>
        <w:separator/>
      </w:r>
    </w:p>
  </w:endnote>
  <w:endnote w:type="continuationSeparator" w:id="0">
    <w:p w14:paraId="65435B6D" w14:textId="77777777" w:rsidR="00547BA7" w:rsidRDefault="00547BA7"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4D4B3" w14:textId="77777777" w:rsidR="00547BA7" w:rsidRDefault="00547BA7" w:rsidP="00285858">
      <w:r>
        <w:separator/>
      </w:r>
    </w:p>
  </w:footnote>
  <w:footnote w:type="continuationSeparator" w:id="0">
    <w:p w14:paraId="683C1921" w14:textId="77777777" w:rsidR="00547BA7" w:rsidRDefault="00547BA7"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C422B"/>
    <w:rsid w:val="000D441C"/>
    <w:rsid w:val="000F3BB1"/>
    <w:rsid w:val="0011234C"/>
    <w:rsid w:val="001227F9"/>
    <w:rsid w:val="00123D00"/>
    <w:rsid w:val="001308AB"/>
    <w:rsid w:val="00136B56"/>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641BA"/>
    <w:rsid w:val="00364A01"/>
    <w:rsid w:val="00364F00"/>
    <w:rsid w:val="003655AE"/>
    <w:rsid w:val="0038126F"/>
    <w:rsid w:val="003824EC"/>
    <w:rsid w:val="0039101A"/>
    <w:rsid w:val="0039546A"/>
    <w:rsid w:val="003A4A5F"/>
    <w:rsid w:val="003D3282"/>
    <w:rsid w:val="003D4EE7"/>
    <w:rsid w:val="00411C26"/>
    <w:rsid w:val="0044470D"/>
    <w:rsid w:val="00444CFB"/>
    <w:rsid w:val="00450B58"/>
    <w:rsid w:val="004608FF"/>
    <w:rsid w:val="00490B06"/>
    <w:rsid w:val="00491AB4"/>
    <w:rsid w:val="004946BF"/>
    <w:rsid w:val="004A2A88"/>
    <w:rsid w:val="004A6C2B"/>
    <w:rsid w:val="004B0D95"/>
    <w:rsid w:val="004C5407"/>
    <w:rsid w:val="004D5592"/>
    <w:rsid w:val="0050762D"/>
    <w:rsid w:val="00517CB7"/>
    <w:rsid w:val="00524C4D"/>
    <w:rsid w:val="00543517"/>
    <w:rsid w:val="00543998"/>
    <w:rsid w:val="00547BA7"/>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33121"/>
    <w:rsid w:val="00750581"/>
    <w:rsid w:val="007848D7"/>
    <w:rsid w:val="0079579F"/>
    <w:rsid w:val="007B7F8E"/>
    <w:rsid w:val="007C3F6E"/>
    <w:rsid w:val="007C5CF8"/>
    <w:rsid w:val="007C6A92"/>
    <w:rsid w:val="007E55AD"/>
    <w:rsid w:val="007F645E"/>
    <w:rsid w:val="00826A65"/>
    <w:rsid w:val="00843EA1"/>
    <w:rsid w:val="00860356"/>
    <w:rsid w:val="00864EAB"/>
    <w:rsid w:val="00865639"/>
    <w:rsid w:val="00885352"/>
    <w:rsid w:val="008940F5"/>
    <w:rsid w:val="008A0148"/>
    <w:rsid w:val="008E1487"/>
    <w:rsid w:val="009105F0"/>
    <w:rsid w:val="00913D0D"/>
    <w:rsid w:val="00932238"/>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97315"/>
    <w:rsid w:val="00AA0751"/>
    <w:rsid w:val="00AA7EBA"/>
    <w:rsid w:val="00AB450E"/>
    <w:rsid w:val="00AE66E9"/>
    <w:rsid w:val="00B068A8"/>
    <w:rsid w:val="00B1174F"/>
    <w:rsid w:val="00B15F60"/>
    <w:rsid w:val="00B46D0F"/>
    <w:rsid w:val="00B66741"/>
    <w:rsid w:val="00B736A2"/>
    <w:rsid w:val="00B963B9"/>
    <w:rsid w:val="00BA3410"/>
    <w:rsid w:val="00BC3D64"/>
    <w:rsid w:val="00BC4D23"/>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62E48"/>
    <w:rsid w:val="00D71634"/>
    <w:rsid w:val="00D8722D"/>
    <w:rsid w:val="00D910AD"/>
    <w:rsid w:val="00DB142B"/>
    <w:rsid w:val="00DC1A63"/>
    <w:rsid w:val="00DC4650"/>
    <w:rsid w:val="00DD278C"/>
    <w:rsid w:val="00DD70FC"/>
    <w:rsid w:val="00DE1453"/>
    <w:rsid w:val="00DF31C2"/>
    <w:rsid w:val="00E23690"/>
    <w:rsid w:val="00E63F51"/>
    <w:rsid w:val="00E9001C"/>
    <w:rsid w:val="00EA0719"/>
    <w:rsid w:val="00EA0AE8"/>
    <w:rsid w:val="00EB10FE"/>
    <w:rsid w:val="00EB1163"/>
    <w:rsid w:val="00EC65C8"/>
    <w:rsid w:val="00ED72E0"/>
    <w:rsid w:val="00F02956"/>
    <w:rsid w:val="00F16034"/>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semiHidden/>
    <w:unhideWhenUsed/>
    <w:rsid w:val="000D441C"/>
    <w:pPr>
      <w:spacing w:before="100" w:beforeAutospacing="1" w:after="100" w:afterAutospacing="1"/>
    </w:pPr>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143EEE"/>
    <w:rsid w:val="00160CFB"/>
    <w:rsid w:val="0028736A"/>
    <w:rsid w:val="00312218"/>
    <w:rsid w:val="00365848"/>
    <w:rsid w:val="00673033"/>
    <w:rsid w:val="006E1E9A"/>
    <w:rsid w:val="007F72AF"/>
    <w:rsid w:val="00821116"/>
    <w:rsid w:val="00827C3C"/>
    <w:rsid w:val="009055B3"/>
    <w:rsid w:val="009D777B"/>
    <w:rsid w:val="00A7105D"/>
    <w:rsid w:val="00AE212E"/>
    <w:rsid w:val="00B02FD6"/>
    <w:rsid w:val="00B04AA9"/>
    <w:rsid w:val="00C75DAA"/>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EEE"/>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c186a989-42fa-48be-8b5d-2621d6b39fc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YzE4NmE5ODktNDJmYS00OGJlLThiNWQtMjYyMWQ2YjM5ZmN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citationID&quot;:&quot;MENDELEY_CITATION_afdda1f1-2877-4d94-aff3-00d626aa2855&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de45bc61-7516-42ad-9b44-1153dba60953&quot;,&quot;properties&quot;:{&quot;noteIndex&quot;:0},&quot;isEdited&quot;:false,&quot;manualOverride&quot;:{&quot;isManuallyOverridden&quot;:false,&quot;citeprocText&quot;:&quot;(Qu &lt;i&gt;et al.&lt;/i&gt;, 2021; Zhang &lt;i&gt;et al.&lt;/i&gt;, 2021)&quot;,&quot;manualOverrideText&quot;:&quot;&quot;},&quot;citationTag&quot;:&quot;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quot;,&quot;citationItems&quot;:[{&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citationID&quot;:&quot;MENDELEY_CITATION_a71d4277-f5e1-4fde-98af-59f1f17230b2&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40082d4d-d6ab-417c-8d40-60219c0af56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AwODJkNGQtZDZhYi00MTdjLThkNDAtNjAyMTljMGFmNTZ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23</Pages>
  <Words>5384</Words>
  <Characters>30695</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57</cp:revision>
  <cp:lastPrinted>2024-01-24T22:31:00Z</cp:lastPrinted>
  <dcterms:created xsi:type="dcterms:W3CDTF">2023-12-07T20:44:00Z</dcterms:created>
  <dcterms:modified xsi:type="dcterms:W3CDTF">2024-02-07T22:26:00Z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